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616FB4" w:rsidRDefault="00D86B13">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740A8F" w:rsidRDefault="00D86B13">
            <w:pPr>
              <w:rPr>
                <w:sz w:val="26"/>
                <w:szCs w:val="26"/>
                <w:rtl/>
              </w:rPr>
            </w:pPr>
            <w:r>
              <w:rPr>
                <w:rFonts w:ascii="Arial" w:hAnsi="Arial" w:hint="cs"/>
                <w:b/>
                <w:bCs/>
                <w:noProof w:val="0"/>
                <w:sz w:val="26"/>
                <w:szCs w:val="26"/>
                <w:rtl/>
              </w:rPr>
              <w:t>פלוני</w:t>
            </w:r>
          </w:p>
          <w:p w:rsidR="0094424E" w:rsidRPr="002E5258" w:rsidRDefault="00D86B13">
            <w:pPr>
              <w:rPr>
                <w:b/>
                <w:bCs/>
                <w:noProof w:val="0"/>
                <w:sz w:val="26"/>
                <w:szCs w:val="26"/>
              </w:rPr>
            </w:pPr>
            <w:r>
              <w:rPr>
                <w:rFonts w:hint="cs"/>
                <w:sz w:val="26"/>
                <w:szCs w:val="26"/>
                <w:rtl/>
              </w:rPr>
              <w:t>ע"י ב"כ עו"ד  אדווין פרידמן וענבר שנהב</w:t>
            </w:r>
          </w:p>
        </w:tc>
      </w:tr>
      <w:tr w:rsidR="0094424E" w:rsidRPr="002E5258">
        <w:trPr>
          <w:jc w:val="center"/>
        </w:trPr>
        <w:tc>
          <w:tcPr>
            <w:tcW w:w="8820" w:type="dxa"/>
            <w:gridSpan w:val="3"/>
          </w:tcPr>
          <w:p w:rsidR="0094424E" w:rsidRPr="00D86B13"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313294">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313294" w:rsidP="00D86B13">
            <w:pPr>
              <w:rPr>
                <w:sz w:val="26"/>
                <w:szCs w:val="26"/>
                <w:rtl/>
              </w:rPr>
            </w:pPr>
            <w:sdt>
              <w:sdtPr>
                <w:rPr>
                  <w:sz w:val="26"/>
                  <w:szCs w:val="26"/>
                  <w:rtl/>
                </w:rPr>
                <w:alias w:val="1486"/>
                <w:tag w:val="1486"/>
                <w:id w:val="-309872140"/>
                <w:text w:multiLine="1"/>
              </w:sdtPr>
              <w:sdtEndPr/>
              <w:sdtContent>
                <w:r w:rsidR="00D86B13">
                  <w:rPr>
                    <w:rFonts w:ascii="Arial" w:hAnsi="Arial" w:hint="cs"/>
                    <w:b/>
                    <w:bCs/>
                    <w:noProof w:val="0"/>
                    <w:sz w:val="26"/>
                    <w:szCs w:val="26"/>
                    <w:rtl/>
                  </w:rPr>
                  <w:t>אלמונית</w:t>
                </w:r>
              </w:sdtContent>
            </w:sdt>
          </w:p>
          <w:p w:rsidR="0094424E" w:rsidRPr="002E5258" w:rsidRDefault="0094424E">
            <w:pPr>
              <w:rPr>
                <w:b/>
                <w:bCs/>
                <w:noProof w:val="0"/>
                <w:sz w:val="26"/>
                <w:szCs w:val="26"/>
                <w:rtl/>
              </w:rPr>
            </w:pPr>
          </w:p>
        </w:tc>
      </w:tr>
    </w:tbl>
    <w:p w:rsidR="0094424E" w:rsidRDefault="0094424E" w:rsidP="0094424E">
      <w:pPr>
        <w:rPr>
          <w:rtl/>
        </w:rPr>
      </w:pPr>
    </w:p>
    <w:p w:rsidR="0094424E" w:rsidRDefault="0094424E">
      <w:pPr>
        <w:rPr>
          <w:rtl/>
        </w:rPr>
      </w:pPr>
    </w:p>
    <w:p w:rsidR="0094424E" w:rsidRDefault="0094424E"/>
    <w:p w:rsidR="00E31C2B" w:rsidRPr="00E31C2B" w:rsidRDefault="00E31C2B" w:rsidP="006D3B31">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D86B13" w:rsidRDefault="00D86B13" w:rsidP="00D86B13">
      <w:pPr>
        <w:spacing w:line="360" w:lineRule="auto"/>
        <w:jc w:val="both"/>
        <w:rPr>
          <w:rFonts w:ascii="David" w:hAnsi="David"/>
          <w:b/>
          <w:bCs/>
          <w:rtl/>
        </w:rPr>
      </w:pPr>
      <w:r>
        <w:rPr>
          <w:rFonts w:ascii="David" w:hAnsi="David"/>
          <w:rtl/>
        </w:rPr>
        <w:t>בקשת רשות ערעור על החלטת בית המשפט לענייני משפחה במחוז תל-אביב (כב' השופטת ורד שביט פינקלשטיין בתלה"מ 27062-12-21) מיום 1.4.24</w:t>
      </w:r>
      <w:r w:rsidR="00CB6C24">
        <w:rPr>
          <w:rFonts w:ascii="David" w:hAnsi="David" w:hint="cs"/>
          <w:rtl/>
        </w:rPr>
        <w:t>,</w:t>
      </w:r>
      <w:r>
        <w:rPr>
          <w:rFonts w:ascii="David" w:hAnsi="David"/>
          <w:rtl/>
        </w:rPr>
        <w:t xml:space="preserve"> שדחתה </w:t>
      </w:r>
      <w:r w:rsidR="00CB6C24">
        <w:rPr>
          <w:rFonts w:ascii="David" w:hAnsi="David" w:hint="cs"/>
          <w:rtl/>
        </w:rPr>
        <w:t xml:space="preserve">את </w:t>
      </w:r>
      <w:r>
        <w:rPr>
          <w:rFonts w:ascii="David" w:hAnsi="David"/>
          <w:rtl/>
        </w:rPr>
        <w:t>בקשת המבקש "</w:t>
      </w:r>
      <w:r>
        <w:rPr>
          <w:rFonts w:ascii="David" w:hAnsi="David"/>
          <w:b/>
          <w:bCs/>
          <w:rtl/>
        </w:rPr>
        <w:t>למתן צו מניעה זמני כנגד מתן החלטות מטעם המתאמת ההורית".</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b/>
          <w:bCs/>
          <w:u w:val="single"/>
          <w:rtl/>
        </w:rPr>
      </w:pPr>
      <w:r>
        <w:rPr>
          <w:rFonts w:ascii="David" w:hAnsi="David"/>
          <w:b/>
          <w:bCs/>
          <w:u w:val="single"/>
          <w:rtl/>
        </w:rPr>
        <w:t>העובדות הצריכות לעניין</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הצדדים הורים לקטין.</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לפני ביהמ"ש קמא מתבררת כיום תביעת המבקש לאכיפת הסכם גירושין שנכרת בין הצדדים בשנת 2020 (תלה"מ 27062-12-21).</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ביום 27.7.22 מינה ביהמ"ש קמא, בהסכמת הצדדים, את השופט בדימוס בן ציון גרינברג כמתאם הורי בעל סמכויות הכרעה.  ביום 10.7.23, בעקבות התפטרותו של המתאם ההורי מהתיק, מינה ביהמ"ש קמא את כב' השופטת בדימוס נלי גרוסמן, שהוצעה ע"י המבקש, כמתאמת הורית בעלת סמכויות הכרעה.</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lastRenderedPageBreak/>
        <w:t>לאחרונה סבר המבקש כי האמון שלו במתאמת ההורית נפגע קשות באופן שאינו מאפשר לו להמשיך עמה בהליך ועתר ביום 24.1.24 לביטול מינויה ומינוי מתאמת הורית חלופית. לאור החלטת ביהמ"ש קמא הגיש את הבקשה בשנית ביום 28.3.24 כבקשה נפרדת.</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ביום 1.4.24 פנה המבקש לביהמ"ש קמא בבקשה למתן צו מניעה זמני כנגד מתן החלטות מטעם המתאמת ההורית, עד להחלטת ביהמ"ש קמא בבקשתו לביטול מינויה והחלפתה במתאמת הורית חליפית.</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b/>
          <w:bCs/>
          <w:rtl/>
        </w:rPr>
      </w:pPr>
      <w:r>
        <w:rPr>
          <w:rFonts w:ascii="David" w:hAnsi="David"/>
          <w:rtl/>
        </w:rPr>
        <w:t>ביום 1.4.24 דחה ביהמ"ש קמא את בקשת המבקש למתן צו מניעה בהחלטה לפיה "</w:t>
      </w:r>
      <w:r>
        <w:rPr>
          <w:rFonts w:ascii="David" w:hAnsi="David"/>
          <w:b/>
          <w:bCs/>
          <w:rtl/>
        </w:rPr>
        <w:t>אין הליך כאמור. המבקש נדרש לפעול בהתאם להוראות הדין וכפי שביהמ"ש הבהיר בהחלטות קודמות. ככל שהמבקש מתנגד להחלטה כזו או אחרת של המתאמת ההורית, יוכל להגיש עמדתו במסגרת תגובתו".</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על החלטה זו מלין המבקש בבקשת רשות הערעור שלפניי. המבקש טוען כי בהתאם לתקנה 109 לתקנות סדר הדין האזרחי, תשע"ט-2018 לביהמ"ש קמא סמכות ליתן צו מניעה אף כנגד המתאמת ההורית שכן "</w:t>
      </w:r>
      <w:r>
        <w:rPr>
          <w:rFonts w:ascii="David" w:hAnsi="David"/>
          <w:b/>
          <w:bCs/>
          <w:rtl/>
        </w:rPr>
        <w:t>אין לערוך הפרדה בין סמכות כללית להוצאת צו מניעה כנגד משיב בבקשה לבין מתאמת הורית דווקא. תקנות סדר הדין האזרחי אינן מבחינות בין משיבים "רגילים" ובין בעלי אופי מיוחד כמו מתאמת הורית ולפיכך אין להוציא מתחולת התקנות אפשרות להגשת בקשה לצו מניעה נגד מתאמת הורית</w:t>
      </w:r>
      <w:r>
        <w:rPr>
          <w:rFonts w:ascii="David" w:hAnsi="David"/>
          <w:rtl/>
        </w:rPr>
        <w:t>" (ס' 47 לבר"ע). בהסתמך על החלטה קודמת של ביהמ"ש קמא מיום 27.3.24 במסגרתה ציין ביהמ"ש קמא כי בתיק מונתה "</w:t>
      </w:r>
      <w:r>
        <w:rPr>
          <w:rFonts w:ascii="David" w:hAnsi="David"/>
          <w:b/>
          <w:bCs/>
          <w:rtl/>
        </w:rPr>
        <w:t>מתאמת הורית עם סמכויות הכרעה של בורר</w:t>
      </w:r>
      <w:r>
        <w:rPr>
          <w:rFonts w:ascii="David" w:hAnsi="David"/>
          <w:rtl/>
        </w:rPr>
        <w:t>" מפנה המבקש לפסיקה שעניינה  סמכויותיו של  בית המשפט למתן צווי מניעה נגד בוררים ולעיכוב הליכי בוררות ומבקש ללמוד ממנה אנלוגיה לעניינו.</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b/>
          <w:bCs/>
          <w:u w:val="single"/>
          <w:rtl/>
        </w:rPr>
      </w:pPr>
      <w:r>
        <w:rPr>
          <w:rFonts w:ascii="David" w:hAnsi="David"/>
          <w:b/>
          <w:bCs/>
          <w:u w:val="single"/>
          <w:rtl/>
        </w:rPr>
        <w:t>דיון והכרעה</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 xml:space="preserve">בעניינו מונתה המתאמת הורית בהסכמת הצדדים (ואציין שגם עתה אין חולקים על הצורך בתיאום הורי ביניהם) שכללה גם הענקת סמכויות הכרעה בידיה, סמכויות אותן רשאי היה ביהמ"ש קמא אף להטיל עליה מכוח הוראת סעיף 19 סיפא לחוק הכשרות המשפטית והאפוטרופסות, התשכ"ב-1962 </w:t>
      </w:r>
      <w:r>
        <w:rPr>
          <w:rFonts w:ascii="David" w:hAnsi="David"/>
          <w:rtl/>
        </w:rPr>
        <w:lastRenderedPageBreak/>
        <w:t xml:space="preserve">(להלן: </w:t>
      </w:r>
      <w:r>
        <w:rPr>
          <w:rFonts w:ascii="David" w:hAnsi="David"/>
          <w:b/>
          <w:bCs/>
          <w:rtl/>
        </w:rPr>
        <w:t>חוק הכשרות</w:t>
      </w:r>
      <w:r>
        <w:rPr>
          <w:rFonts w:ascii="David" w:hAnsi="David"/>
          <w:rtl/>
        </w:rPr>
        <w:t>) הקובע כי: "</w:t>
      </w:r>
      <w:r>
        <w:rPr>
          <w:rFonts w:ascii="David" w:hAnsi="David"/>
          <w:b/>
          <w:bCs/>
          <w:color w:val="000000"/>
          <w:rtl/>
        </w:rPr>
        <w:t xml:space="preserve">לא באו ההורים לידי הסכמה ביניהם בעניין אחר הנתון לאפוטרופוסתם רשאים הם יחד לפנות לבית המשפט ובית המשפט, אם לא עלה בידו להביאם לידי הסכמה ואם ראה שיש מקום להכריע בדבר, יכריע הוא בעצמו או יטיל את ההכרעה על מי שימצא לנכון". </w:t>
      </w:r>
      <w:r>
        <w:rPr>
          <w:rFonts w:ascii="David" w:hAnsi="David"/>
          <w:color w:val="000000"/>
          <w:rtl/>
        </w:rPr>
        <w:t>הגורם שעליו הטיל ביהמ"ש את סמכות ההכרעה מכוח סעיף זה פועל מכוח הסמכות שהקנה לו ביהמ"ש וזו בלבד, ולפיכך סבורני שבצדק קבע ביהמ"ש קמא כי "</w:t>
      </w:r>
      <w:r>
        <w:rPr>
          <w:rFonts w:ascii="David" w:hAnsi="David"/>
          <w:b/>
          <w:bCs/>
          <w:color w:val="000000"/>
          <w:rtl/>
        </w:rPr>
        <w:t>אין הליך</w:t>
      </w:r>
      <w:r>
        <w:rPr>
          <w:rFonts w:ascii="David" w:hAnsi="David"/>
          <w:color w:val="000000"/>
          <w:rtl/>
        </w:rPr>
        <w:t>" שעניינו בקשה לצו מניעה כנגד אותו גורם על מנת שימנע מהפעלת הסמכות שהקנה לו ביהמ"ש שמינה אותו</w:t>
      </w:r>
      <w:r>
        <w:rPr>
          <w:rFonts w:ascii="David" w:hAnsi="David"/>
          <w:rtl/>
        </w:rPr>
        <w:t xml:space="preserve"> (ובפרט  כשביהמ"ש שמינה את הגורם הוא גם ביהמ"ש שמתבקש לדון בבקשה לצו שימנע את פעולת אותו גורם ). גם אם הסמכויות שהוקנו לאותו גורם שמונה הן "</w:t>
      </w:r>
      <w:r>
        <w:rPr>
          <w:rFonts w:ascii="David" w:hAnsi="David"/>
          <w:b/>
          <w:bCs/>
          <w:rtl/>
        </w:rPr>
        <w:t>סמכויות הכרעה של בורר</w:t>
      </w:r>
      <w:r>
        <w:rPr>
          <w:rFonts w:ascii="David" w:hAnsi="David"/>
          <w:rtl/>
        </w:rPr>
        <w:t>" כלשון ביהמ"ש קמא בהחלטתו הקודמת, אותו גורם אינו בורר כהגדרתו בחוק הבוררות, תשכ"ח-1968 והכרעתו אינה בגדר פסק בוררות, שכן הסמכות הנתונה לביהמ"ש לפעול לפי סיפת סעיף 19 לחוק הכשרות אינה תלויה בהסכמת הצדדים או בקיומו של הסכם בוררות (כמשמעותו בחוק הבוררות) ביניהם. מכאן שאין להקיש לענייננו, בוודאי שלא באופן ישיר, מהאפשרות הקיימת לבית משפט הדן בבקשה להעברת בורר מתפקידו למתן צו מניעה נגד הבורר שמשמעותו עיכוב הליכי הבוררות.</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 xml:space="preserve">מכל מקום, וזה העיקר, סבורני כי אין כל סיבה שביהמ"ש קמא יברר בקשה "לצו מניעה" כלפי הכרעות מתאמת הורית בנסיבות בהן מדובר בהכרעות שניתנות מבלי שנשללה עליהן אפשרות ההשגה לביהמ"ש לפי הצורך (על חשיבות מתן אפשרות להשגה בפני ביהמ"ש גם בנסיבות של הענקת סמכות לגורם מכריע לפי סעיף 19 סיפא לחוק הכשרות ראו בבע"מ 421/17 </w:t>
      </w:r>
      <w:r>
        <w:rPr>
          <w:rFonts w:ascii="David" w:hAnsi="David"/>
          <w:b/>
          <w:bCs/>
          <w:u w:val="single"/>
          <w:rtl/>
        </w:rPr>
        <w:t>פלוני נ' פלוני</w:t>
      </w:r>
      <w:r>
        <w:rPr>
          <w:rFonts w:ascii="David" w:hAnsi="David"/>
          <w:rtl/>
        </w:rPr>
        <w:t xml:space="preserve"> , פורסם בנבו, 21.3.17. לדיון נרחב בסוגיית הענקת סמכויות הכרעה למתאם הורי ראו בפסק-דינו של חברי כב' השופט שילה ברמ"ש 57452-09-23 </w:t>
      </w:r>
      <w:r>
        <w:rPr>
          <w:rFonts w:ascii="David" w:hAnsi="David"/>
          <w:b/>
          <w:bCs/>
          <w:u w:val="single"/>
          <w:rtl/>
        </w:rPr>
        <w:t>פלונית ואח' נ' אלמוני</w:t>
      </w:r>
      <w:r>
        <w:rPr>
          <w:rFonts w:ascii="David" w:hAnsi="David"/>
          <w:rtl/>
        </w:rPr>
        <w:t>, פורסם בנבו 8.11.23).</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בעניינו, הכרעת המתאמת ההורית אינה סוף פסוק וביהמ"ש קמא לא התפרק מסמכותו לבחון ולהכריע בכל השגה שיש למי מהצדדים על הכרעותיה. כך נלמד מסיפת ההחלטה מושא הבר"ע בה ציין ביהמ"ש קמא מפורשות כי "</w:t>
      </w:r>
      <w:r>
        <w:rPr>
          <w:rFonts w:ascii="David" w:hAnsi="David"/>
          <w:b/>
          <w:bCs/>
          <w:rtl/>
        </w:rPr>
        <w:t>ככל שהמבקש מתנגד להחלטה כזו או אחרת של המתאמת ההורית, יוכל להגיש עמדתו במסגרת תגובתו</w:t>
      </w:r>
      <w:r>
        <w:rPr>
          <w:rFonts w:ascii="David" w:hAnsi="David"/>
          <w:rtl/>
        </w:rPr>
        <w:t>". על האופן הראוי לשב</w:t>
      </w:r>
      <w:r w:rsidR="00CB6C24">
        <w:rPr>
          <w:rFonts w:ascii="David" w:hAnsi="David"/>
          <w:rtl/>
        </w:rPr>
        <w:t xml:space="preserve">ח בו כיום מתנהלים הדברים בפועל </w:t>
      </w:r>
      <w:r w:rsidR="00CB6C24">
        <w:rPr>
          <w:rFonts w:ascii="David" w:hAnsi="David" w:hint="cs"/>
          <w:rtl/>
        </w:rPr>
        <w:t xml:space="preserve">ועל </w:t>
      </w:r>
      <w:r w:rsidR="00CB6C24">
        <w:rPr>
          <w:rFonts w:ascii="David" w:hAnsi="David"/>
          <w:rtl/>
        </w:rPr>
        <w:t xml:space="preserve"> </w:t>
      </w:r>
      <w:r>
        <w:rPr>
          <w:rFonts w:ascii="David" w:hAnsi="David"/>
          <w:rtl/>
        </w:rPr>
        <w:t>משנה זהירות נוסף בו נקט ביהמ"ש קמא לאור בקשת המבקש התלויה ועומדת לפנ</w:t>
      </w:r>
      <w:r w:rsidR="00CB6C24">
        <w:rPr>
          <w:rFonts w:ascii="David" w:hAnsi="David"/>
          <w:rtl/>
        </w:rPr>
        <w:t xml:space="preserve">יו לביטול מינוי המתאמת ההורית, </w:t>
      </w:r>
      <w:r>
        <w:rPr>
          <w:rFonts w:ascii="David" w:hAnsi="David"/>
          <w:rtl/>
        </w:rPr>
        <w:t xml:space="preserve">למדתי מעיון בתיק המתנהל בביהמ"ש קמא:  ביום 19.3.24 פנתה המשיבה לביהמ"ש קמא בבקשה כי יורה שלא נחוצה חתימה של המשיב על טפסי הבקשה לבחינת זכאות הקטין במסגרת ועדת איפיון  של עיריית ת"א לשנת הלימודים הקרובה (בקשה מס' 29 בנט). ביום 27.3.24 הורה ביהמ"ש קמא למשיבה לפנות למתאמת ההורית לצורך הסדרת סוגיה זו. המשיבה פנתה </w:t>
      </w:r>
      <w:r>
        <w:rPr>
          <w:rFonts w:ascii="David" w:hAnsi="David"/>
          <w:rtl/>
        </w:rPr>
        <w:lastRenderedPageBreak/>
        <w:t xml:space="preserve">למתאמת ההורית וביום 31.3.24 המתאמת ההורית הכריעה בסוגיה וקבעה  שאין צורך בהסכמת המבקש לקביעת וועדה זו והמשיבה רשאית לקבוע וועדת אפיון וזכאות בחתימתה בלבד. לאחר שהכרעת המתאמת ההורית הוגשה לביהמ"ש קמא עם בקשה להעניק לה תוקף של החלטה, קבע ביהמ"ש קמא ביום 31.3.24 כי המבקש יגיב לה בתוך יומיים. ביום 19.5.24 הכריע ביהמ"ש קמא בהחלטה מנומקת באותו עניין שבמחלוקת, כשבפתח החלטתו הבהיר כי בין השאר לאור בקשת המבקש התלויה ועומדת לביטול מינוי המתאמת ההורית החלטתו ניתנת בשים לב לטענות הצדדים בלבד והמסמכים שהוגשו </w:t>
      </w:r>
      <w:r w:rsidRPr="0091306E">
        <w:rPr>
          <w:rFonts w:ascii="David" w:hAnsi="David"/>
          <w:u w:val="single"/>
          <w:rtl/>
        </w:rPr>
        <w:t>וללא תלות בשלב זה בהכרעת המתאמת ההורית שהוגשה ביום 31.3.24</w:t>
      </w:r>
      <w:r>
        <w:rPr>
          <w:rFonts w:ascii="David" w:hAnsi="David"/>
          <w:rtl/>
        </w:rPr>
        <w:t xml:space="preserve">. </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b/>
          <w:bCs/>
          <w:u w:val="single"/>
          <w:rtl/>
        </w:rPr>
      </w:pPr>
      <w:r>
        <w:rPr>
          <w:rFonts w:ascii="David" w:hAnsi="David"/>
          <w:b/>
          <w:bCs/>
          <w:u w:val="single"/>
          <w:rtl/>
        </w:rPr>
        <w:t>סוף דבר</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לאור כל האמור לעיל, בקשת רשות הערעור נדחית.</w:t>
      </w:r>
    </w:p>
    <w:p w:rsidR="00D86B13" w:rsidRDefault="00D86B13" w:rsidP="00D86B13">
      <w:pPr>
        <w:spacing w:line="360" w:lineRule="auto"/>
        <w:jc w:val="both"/>
        <w:rPr>
          <w:rFonts w:ascii="David" w:hAnsi="David"/>
          <w:rtl/>
        </w:rPr>
      </w:pPr>
      <w:r>
        <w:rPr>
          <w:rFonts w:ascii="David" w:hAnsi="David"/>
          <w:rtl/>
        </w:rPr>
        <w:t>משלא התבקשה תשובה – אין צו להוצאות.</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העירבון, על פירותיו, יוחזר למבקש באמצעות בא</w:t>
      </w:r>
      <w:r>
        <w:rPr>
          <w:rFonts w:ascii="David" w:hAnsi="David" w:hint="cs"/>
          <w:rtl/>
        </w:rPr>
        <w:t>י</w:t>
      </w:r>
      <w:r>
        <w:rPr>
          <w:rFonts w:ascii="David" w:hAnsi="David"/>
          <w:rtl/>
        </w:rPr>
        <w:t xml:space="preserve"> כוחו.</w:t>
      </w:r>
    </w:p>
    <w:p w:rsidR="00D86B13" w:rsidRDefault="00D86B13" w:rsidP="00D86B13">
      <w:pPr>
        <w:spacing w:line="360" w:lineRule="auto"/>
        <w:jc w:val="both"/>
        <w:rPr>
          <w:rFonts w:ascii="David" w:hAnsi="David"/>
          <w:rtl/>
        </w:rPr>
      </w:pPr>
    </w:p>
    <w:p w:rsidR="00D86B13" w:rsidRDefault="00D86B13" w:rsidP="00D86B13">
      <w:pPr>
        <w:spacing w:line="360" w:lineRule="auto"/>
        <w:jc w:val="both"/>
        <w:rPr>
          <w:rFonts w:ascii="David" w:hAnsi="David"/>
          <w:rtl/>
        </w:rPr>
      </w:pPr>
      <w:r>
        <w:rPr>
          <w:rFonts w:ascii="David" w:hAnsi="David"/>
          <w:rtl/>
        </w:rPr>
        <w:t>מתיר פרסום ההחלטה במתכונת עליה נחתמה, בהיעדר שמות הצדדים ופרטים מזהים אחרים.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מאי 2024</w:t>
          </w:r>
        </w:sdtContent>
      </w:sdt>
      <w:r w:rsidR="00005C8B">
        <w:rPr>
          <w:rFonts w:ascii="Arial" w:hAnsi="Arial"/>
          <w:noProof w:val="0"/>
          <w:rtl/>
        </w:rPr>
        <w:t>, בהעדר הצדדים.</w:t>
      </w:r>
    </w:p>
    <w:p w:rsidR="00C43648" w:rsidRDefault="00313294"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313294" w:rsidP="00C43648">
      <w:pPr>
        <w:tabs>
          <w:tab w:val="left" w:pos="2553"/>
        </w:tabs>
        <w:ind w:left="5040"/>
      </w:pPr>
      <w:sdt>
        <w:sdtPr>
          <w:rPr>
            <w:rtl/>
          </w:rPr>
          <w:alias w:val="MergeField"/>
          <w:tag w:val="1237"/>
          <w:id w:val="854155472"/>
        </w:sdtPr>
        <w:sdtEndPr/>
        <w:sdtContent>
          <w:r w:rsidR="00EC67D8">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294" w:rsidRDefault="00313294">
      <w:r>
        <w:separator/>
      </w:r>
    </w:p>
  </w:endnote>
  <w:endnote w:type="continuationSeparator" w:id="0">
    <w:p w:rsidR="00313294" w:rsidRDefault="0031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95" w:rsidRDefault="008813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64F4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64F4D">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95" w:rsidRDefault="008813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294" w:rsidRDefault="00313294">
      <w:r>
        <w:separator/>
      </w:r>
    </w:p>
  </w:footnote>
  <w:footnote w:type="continuationSeparator" w:id="0">
    <w:p w:rsidR="00313294" w:rsidRDefault="00313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95" w:rsidRDefault="008813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13294" w:rsidP="00D86B13">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38330-04-24</w:t>
              </w:r>
            </w:sdtContent>
          </w:sdt>
          <w:r w:rsidR="00005C8B">
            <w:rPr>
              <w:b/>
              <w:bCs/>
              <w:noProof w:val="0"/>
              <w:sz w:val="26"/>
              <w:szCs w:val="26"/>
              <w:rtl/>
            </w:rPr>
            <w:t xml:space="preserve"> </w:t>
          </w:r>
          <w:sdt>
            <w:sdtPr>
              <w:rPr>
                <w:rtl/>
              </w:rPr>
              <w:alias w:val="1172"/>
              <w:tag w:val="1172"/>
              <w:id w:val="-595170033"/>
              <w:text w:multiLine="1"/>
            </w:sdtPr>
            <w:sdtEndPr/>
            <w:sdtContent>
              <w:r w:rsidR="00D86B13">
                <w:rPr>
                  <w:rFonts w:hint="cs"/>
                  <w:b/>
                  <w:bCs/>
                  <w:noProof w:val="0"/>
                  <w:sz w:val="26"/>
                  <w:szCs w:val="26"/>
                  <w:rtl/>
                </w:rPr>
                <w:t>פלוני נ' אלמונית</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95" w:rsidRDefault="0088139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613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61371&amp;lt;/CaseID&amp;gt;_x000d__x000a_        &amp;lt;CaseMonth&amp;gt;4&amp;lt;/CaseMonth&amp;gt;_x000d__x000a_        &amp;lt;CaseYear&amp;gt;2024&amp;lt;/CaseYear&amp;gt;_x000d__x000a_        &amp;lt;CaseNumber&amp;gt;38330&amp;lt;/CaseNumber&amp;gt;_x000d__x000a_        &amp;lt;NumeratorGroupID&amp;gt;1&amp;lt;/NumeratorGroupID&amp;gt;_x000d__x000a_        &amp;lt;CaseName&amp;gt;שכטר נ&amp;#39; קאשי שכטר&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8330-04-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4-16T11:50: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כת כב&amp;#39; הש&amp;#39; שוח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61371&amp;lt;/CaseID&amp;gt;_x000d__x000a_        &amp;lt;CaseMonth&amp;gt;4&amp;lt;/CaseMonth&amp;gt;_x000d__x000a_        &amp;lt;CaseYear&amp;gt;2024&amp;lt;/CaseYear&amp;gt;_x000d__x000a_        &amp;lt;CaseNumber&amp;gt;38330&amp;lt;/CaseNumber&amp;gt;_x000d__x000a_        &amp;lt;NumeratorGroupID&amp;gt;1&amp;lt;/NumeratorGroupID&amp;gt;_x000d__x000a_        &amp;lt;CaseName&amp;gt;שכטר נ&amp;#39; קאשי שכטר&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8330-04-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4-16T11:50: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כת כב&amp;#39; הש&amp;#39; שוח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52310&amp;lt;/DecisionID&amp;gt;_x000d__x000a_        &amp;lt;DecisionName&amp;gt;החלטה  שניתנה ע&amp;quot;י  שאול שוחט&amp;lt;/DecisionName&amp;gt;_x000d__x000a_        &amp;lt;DecisionStatusID&amp;gt;1&amp;lt;/DecisionStatusID&amp;gt;_x000d__x000a_        &amp;lt;DecisionStatusChangeDate&amp;gt;2024-05-20T14:57:40.18+03:00&amp;lt;/DecisionStatusChangeDate&amp;gt;_x000d__x000a_        &amp;lt;DecisionSignatureDate&amp;gt;2024-05-20T14:57:35.627+03:00&amp;lt;/DecisionSignatureDate&amp;gt;_x000d__x000a_        &amp;lt;DecisionSignatureUserID&amp;gt;053515011@GOV.IL&amp;lt;/DecisionSignatureUserID&amp;gt;_x000d__x000a_        &amp;lt;DecisionCreateDate&amp;gt;2024-05-20T14:57:40.073+03:00&amp;lt;/DecisionCreateDate&amp;gt;_x000d__x000a_        &amp;lt;DecisionChangeDate&amp;gt;2024-05-20T14:57:40.18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346804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1752310&amp;lt;/DecisionID&amp;gt;_x000d__x000a_        &amp;lt;CaseID&amp;gt;81161371&amp;lt;/CaseID&amp;gt;_x000d__x000a_        &amp;lt;IsOriginal&amp;gt;true&amp;lt;/IsOriginal&amp;gt;_x000d__x000a_        &amp;lt;IsDeleted&amp;gt;false&amp;lt;/IsDeleted&amp;gt;_x000d__x000a_        &amp;lt;CaseName&amp;gt;שכטר נ&amp;#39; קאשי שכטר&amp;lt;/CaseName&amp;gt;_x000d__x000a_        &amp;lt;CaseDisplayIdentifier&amp;gt;38330-04-24 רמ&amp;quot;ש&amp;lt;/CaseDisplayIdentifier&amp;gt;_x000d__x000a_      &amp;lt;/dt_DecisionCase&amp;gt;_x000d__x000a_    &amp;lt;/DecisionDS&amp;gt;_x000d__x000a_  &amp;lt;/diffgr:diffgram&amp;gt;_x000d__x000a_&amp;lt;/DecisionDS&amp;gt;"/>
    <w:docVar w:name="DecisionID" w:val="151752310"/>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C344E"/>
    <w:rsid w:val="002E5258"/>
    <w:rsid w:val="00307A6A"/>
    <w:rsid w:val="00307C40"/>
    <w:rsid w:val="00313294"/>
    <w:rsid w:val="00320433"/>
    <w:rsid w:val="003230C7"/>
    <w:rsid w:val="00327CB2"/>
    <w:rsid w:val="00327E50"/>
    <w:rsid w:val="0033597A"/>
    <w:rsid w:val="00362612"/>
    <w:rsid w:val="0036743F"/>
    <w:rsid w:val="003715DD"/>
    <w:rsid w:val="003823E0"/>
    <w:rsid w:val="003A4521"/>
    <w:rsid w:val="003D1C8C"/>
    <w:rsid w:val="0040096C"/>
    <w:rsid w:val="00414F1F"/>
    <w:rsid w:val="00414F74"/>
    <w:rsid w:val="0043125D"/>
    <w:rsid w:val="0043502B"/>
    <w:rsid w:val="004443AC"/>
    <w:rsid w:val="00464F4D"/>
    <w:rsid w:val="004C4BDF"/>
    <w:rsid w:val="004D1187"/>
    <w:rsid w:val="004E1987"/>
    <w:rsid w:val="004E2E15"/>
    <w:rsid w:val="004E4BA7"/>
    <w:rsid w:val="004E6E3C"/>
    <w:rsid w:val="004F14F0"/>
    <w:rsid w:val="00520898"/>
    <w:rsid w:val="00524986"/>
    <w:rsid w:val="005268F6"/>
    <w:rsid w:val="00547DB7"/>
    <w:rsid w:val="005F4F09"/>
    <w:rsid w:val="0061431B"/>
    <w:rsid w:val="00616FB4"/>
    <w:rsid w:val="00622BAA"/>
    <w:rsid w:val="006306CF"/>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4318"/>
    <w:rsid w:val="00870890"/>
    <w:rsid w:val="00873602"/>
    <w:rsid w:val="00875D12"/>
    <w:rsid w:val="00881395"/>
    <w:rsid w:val="00896889"/>
    <w:rsid w:val="008C5714"/>
    <w:rsid w:val="008D10B2"/>
    <w:rsid w:val="00903896"/>
    <w:rsid w:val="00906F3D"/>
    <w:rsid w:val="0091306E"/>
    <w:rsid w:val="0094424E"/>
    <w:rsid w:val="009605B3"/>
    <w:rsid w:val="009622DF"/>
    <w:rsid w:val="00967DFF"/>
    <w:rsid w:val="00994341"/>
    <w:rsid w:val="009A376F"/>
    <w:rsid w:val="009D7E8E"/>
    <w:rsid w:val="009F323C"/>
    <w:rsid w:val="00A125FF"/>
    <w:rsid w:val="00A3392B"/>
    <w:rsid w:val="00A40B04"/>
    <w:rsid w:val="00A94B64"/>
    <w:rsid w:val="00AA2A53"/>
    <w:rsid w:val="00AA3229"/>
    <w:rsid w:val="00AA7596"/>
    <w:rsid w:val="00AB5E52"/>
    <w:rsid w:val="00AC3B02"/>
    <w:rsid w:val="00AC3B7B"/>
    <w:rsid w:val="00AC5209"/>
    <w:rsid w:val="00AD3AD9"/>
    <w:rsid w:val="00AE7752"/>
    <w:rsid w:val="00AF7FDA"/>
    <w:rsid w:val="00B80CBD"/>
    <w:rsid w:val="00B86096"/>
    <w:rsid w:val="00BA517C"/>
    <w:rsid w:val="00BB3D05"/>
    <w:rsid w:val="00BB73BE"/>
    <w:rsid w:val="00BE05B2"/>
    <w:rsid w:val="00BF1908"/>
    <w:rsid w:val="00C22D93"/>
    <w:rsid w:val="00C31120"/>
    <w:rsid w:val="00C34482"/>
    <w:rsid w:val="00C43648"/>
    <w:rsid w:val="00C50A9F"/>
    <w:rsid w:val="00C642FA"/>
    <w:rsid w:val="00C83000"/>
    <w:rsid w:val="00CB6C24"/>
    <w:rsid w:val="00CC7622"/>
    <w:rsid w:val="00D27982"/>
    <w:rsid w:val="00D33B86"/>
    <w:rsid w:val="00D53924"/>
    <w:rsid w:val="00D55D0C"/>
    <w:rsid w:val="00D86B13"/>
    <w:rsid w:val="00D96D8C"/>
    <w:rsid w:val="00DA4E55"/>
    <w:rsid w:val="00DA6649"/>
    <w:rsid w:val="00DC1259"/>
    <w:rsid w:val="00DC2571"/>
    <w:rsid w:val="00DC487C"/>
    <w:rsid w:val="00DE6BF6"/>
    <w:rsid w:val="00E25884"/>
    <w:rsid w:val="00E31C2B"/>
    <w:rsid w:val="00E5426A"/>
    <w:rsid w:val="00E54642"/>
    <w:rsid w:val="00E90BA2"/>
    <w:rsid w:val="00EC37E9"/>
    <w:rsid w:val="00EC67D8"/>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51232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3F3C07" w:rsidP="003F3C07">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3F3C07"/>
    <w:rsid w:val="00410E40"/>
    <w:rsid w:val="005C53BE"/>
    <w:rsid w:val="008A1B90"/>
    <w:rsid w:val="009133C7"/>
    <w:rsid w:val="00924F53"/>
    <w:rsid w:val="00A61770"/>
    <w:rsid w:val="00AA7CE3"/>
    <w:rsid w:val="00C238F5"/>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3C0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3F3C0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אדווין פרידמן</FullName>
        <FirstName>אדווין</FirstName>
        <LastName>פרידמן</LastName>
        <PartyPropertyName/>
        <AuthenticationTypeAndNumber>מ.ר. 9578</AuthenticationTypeAndNumber>
        <RepresentatedOrRepresentativesNames>דיימון שכטר</RepresentatedOrRepresentativesNames>
        <RepresentatedOrRepresentativesCount>1</RepresentatedOrRepresentativesCount>
        <InvitedBy/>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269144050</CasePartyID>
        <PartyTypeID>2</PartyTypeID>
        <ActivityStatusID>1</ActivityStatusID>
        <PartyAliasID>22</PartyAliasID>
        <PartyAliasName>בא כוח מבקשים</PartyAliasName>
        <OrdinalNumber>1</OrdinalNumber>
        <LegalEntityID>382672</LegalEntityID>
        <CaseLegalEntityID>128573286</CaseLegalEntityID>
        <AuthenticationTypeID>4</AuthenticationTypeID>
        <AuthenticationTypeName>מ.ר.</AuthenticationTypeName>
        <LegalEntityNumber>9578</LegalEntityNumber>
        <IsMainPartyType>true</IsMainPartyType>
        <CaseDisplayIdentifier>38330-04-24</CaseDisplayIdentifier>
        <CaseTypeID>10074</CaseTypeID>
        <CaseTypeName>רשות ערעור משפחה (רמ"ש)</CaseTypeName>
        <CaseName>שכטר נ' קאשי שכטר</CaseName>
        <FullAddress>הרכבת 58 תל אביב -יפו </FullAddress>
        <EmailAddress>edwin@edfreedman.com</EmailAddress>
        <MotionID>0</MotionID>
        <CasePleaID>0</CasePleaID>
        <LinkedCaseID>0</LinkedCaseID>
        <PartyID>1</PartyID>
        <CasePartyCategoryID>2</CasePartyCategoryID>
        <LegalEntityAddressID>78340272</LegalEntityAddressID>
        <LegalEntityEmailAddressID>67899745</LegalEntityEmailAddressID>
        <PleaTypeID>5</PleaTypeID>
        <LawyerOfficeName>משרד עו"ד: אדווין פרידמן</LawyerOfficeName>
        <LawyerOfficeID>423316</LawyerOfficeID>
        <GroupPartyAlias/>
        <IsConverted>false</IsConverted>
        <LegalEntityNameID>3656</LegalEntityNameID>
        <RepresentatedNamesOfAssistant/>
        <LegalEntityTypeID>4</LegalEntityTypeID>
        <IsVerdictExists>false</IsVerdictExists>
        <IsAsirAzir>false</IsAsirAzir>
        <IsPublicationProhibited>false</IsPublicationProhibited>
        <PublicationProhibitedFullName>אדווין פרידמן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דיימון שכטר</FullName>
        <FirstName>דיימון</FirstName>
        <LastName>שכטר</LastName>
        <PartyPropertyName/>
        <AuthenticationTypeAndNumber>דרכון 520686304</AuthenticationTypeAndNumber>
        <RepresentatedOrRepresentativesNames>אדווין פרידמן</RepresentatedOrRepresentativesNames>
        <RepresentatedOrRepresentativesCount>1</RepresentatedOrRepresentativesCount>
        <InvitedBy/>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269144048</CasePartyID>
        <PartyTypeID>1</PartyTypeID>
        <ActivityStatusID>1</ActivityStatusID>
        <PartyAliasID>3</PartyAliasID>
        <PartyAliasName>מבקש</PartyAliasName>
        <OrdinalNumber>1</OrdinalNumber>
        <LegalEntityID>79793718</LegalEntityID>
        <CaseLegalEntityID>128573284</CaseLegalEntityID>
        <AuthenticationTypeID>2</AuthenticationTypeID>
        <AuthenticationTypeName>דרכון</AuthenticationTypeName>
        <LegalEntityNumber>520686304</LegalEntityNumber>
        <IsMainPartyType>true</IsMainPartyType>
        <CaseDisplayIdentifier>38330-04-24</CaseDisplayIdentifier>
        <CaseTypeID>10074</CaseTypeID>
        <CaseTypeName>רשות ערעור משפחה (רמ"ש)</CaseTypeName>
        <CaseName>שכטר נ' קאשי שכטר</CaseName>
        <FullAddress/>
        <MotionID>0</MotionID>
        <CasePleaID>0</CasePleaID>
        <PassportCountryID>710</PassportCountryID>
        <FatherName/>
        <LinkedCaseID>0</LinkedCaseID>
        <PartyID>1</PartyID>
        <CasePartyCategoryID>2</CasePartyCategoryID>
        <PleaTypeID>5</PleaTypeID>
        <GroupPartyAlias>מבקשים</GroupPartyAlias>
        <IsConverted>false</IsConverted>
        <LegalEntityNameID>92373002</LegalEntityNameID>
        <RepresentatedNamesOfAssistant/>
        <LegalEntityTypeID>2</LegalEntityTypeID>
        <IsVerdictExists>false</IsVerdictExists>
        <IsAsirAzir>false</IsAsirAzir>
        <IsPublicationProhibited>false</IsPublicationProhibited>
        <PublicationProhibitedFullName>דיימון שכטר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שולמית קאשי שכטר</FullName>
        <FirstName>שולמית</FirstName>
        <LastName>קאשי</LastName>
        <PartyPropertyName/>
        <AuthenticationTypeAndNumber>ת"ז 036926194</AuthenticationTypeAndNumber>
        <RepresentatedOrRepresentativesNames/>
        <RepresentatedOrRepresentativesCount>0</RepresentatedOrRepresentativesCount>
        <InvitedBy/>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269144049</CasePartyID>
        <PartyTypeID>1</PartyTypeID>
        <ActivityStatusID>1</ActivityStatusID>
        <PartyAliasID>4</PartyAliasID>
        <PartyAliasName>משיב</PartyAliasName>
        <OrdinalNumber>1</OrdinalNumber>
        <LegalEntityID>13074112</LegalEntityID>
        <CaseLegalEntityID>128573285</CaseLegalEntityID>
        <AuthenticationTypeID>1</AuthenticationTypeID>
        <AuthenticationTypeName>ת"ז</AuthenticationTypeName>
        <LegalEntityNumber>036926194</LegalEntityNumber>
        <IsMainPartyType>true</IsMainPartyType>
        <CaseDisplayIdentifier>38330-04-24</CaseDisplayIdentifier>
        <CaseTypeID>10074</CaseTypeID>
        <CaseTypeName>רשות ערעור משפחה (רמ"ש)</CaseTypeName>
        <CaseName>שכטר נ' קאשי שכטר</CaseName>
        <FullAddress>מאיר יערי 11 דירה 14 תל אביב -יפו דירה 13</FullAddress>
        <MotionID>0</MotionID>
        <CasePleaID>0</CasePleaID>
        <FatherName>מאיר</FatherName>
        <LinkedCaseID>0</LinkedCaseID>
        <PartyID>2</PartyID>
        <CasePartyCategoryID>2</CasePartyCategoryID>
        <LegalEntityAddressID>88870863</LegalEntityAddressID>
        <PleaTypeID>5</PleaTypeID>
        <GroupPartyAlias>משיבים</GroupPartyAlias>
        <IsConverted>false</IsConverted>
        <LegalEntityRegisteredNameID>9371042</LegalEntityRegisteredNameID>
        <LegalEntityNameID>92373003</LegalEntityNameID>
        <RepresentatedNamesOfAssistant/>
        <LegalEntityTypeID>1</LegalEntityTypeID>
        <IsVerdictExists>false</IsVerdictExists>
        <IsAsirAzir>false</IsAsirAzir>
        <IsPublicationProhibited>false</IsPublicationProhibited>
        <PublicationProhibitedFullName>שולמית קאשי שכטר</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2024-05-20T14:55:10.797345+03:00</DecisionSignatureDate>
    <OpenCaseDate>2024-04-16T11:50:00+03:00</OpenCaseDate>
    <CaseFeeSum>0.000</CaseFeeSum>
    <DecisionTypeID>1</DecisionTypeID>
    <DecisionSignatureUserName>שאול שוחט</DecisionSignatureUserName>
    <DecisionSignatureDateHebrew>2024-05-20T14:55:10.797345+03:00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שכטר נ' קאשי שכטר</CaseName>
    <DecisionNumberInCase>1</DecisionNumberInCase>
  </dt_Decision>
  <dt_DecisionCase>
    <DecisionID>0</DecisionID>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אדווין פרידמן</FullName>
        <FirstName>אדווין</FirstName>
        <LastName>פרידמן</LastName>
        <PartyPropertyName/>
        <AuthenticationTypeAndNumber>מ.ר. 9578</AuthenticationTypeAndNumber>
        <RepresentatedOrRepresentativesNames>דיימון שכטר</RepresentatedOrRepresentativesNames>
        <RepresentatedOrRepresentativesCount>1</RepresentatedOrRepresentativesCount>
        <InvitedBy/>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269144050</CasePartyID>
        <PartyTypeID>2</PartyTypeID>
        <ActivityStatusID>1</ActivityStatusID>
        <PartyAliasID>22</PartyAliasID>
        <PartyAliasName>בא כוח מבקשים</PartyAliasName>
        <OrdinalNumber>1</OrdinalNumber>
        <LegalEntityID>382672</LegalEntityID>
        <CaseLegalEntityID>128573286</CaseLegalEntityID>
        <AuthenticationTypeID>4</AuthenticationTypeID>
        <AuthenticationTypeName>מ.ר.</AuthenticationTypeName>
        <LegalEntityNumber>9578</LegalEntityNumber>
        <IsMainPartyType>true</IsMainPartyType>
        <CaseDisplayIdentifier>38330-04-24</CaseDisplayIdentifier>
        <CaseTypeID>10074</CaseTypeID>
        <CaseTypeName>רשות ערעור משפחה (רמ"ש)</CaseTypeName>
        <CaseName>שכטר נ' קאשי שכטר</CaseName>
        <FullAddress>הרכבת 58 תל אביב -יפו </FullAddress>
        <EmailAddress>edwin@edfreedman.com</EmailAddress>
        <MotionID>0</MotionID>
        <CasePleaID>0</CasePleaID>
        <LinkedCaseID>0</LinkedCaseID>
        <PartyID>1</PartyID>
        <CasePartyCategoryID>2</CasePartyCategoryID>
        <LegalEntityAddressID>78340272</LegalEntityAddressID>
        <LegalEntityEmailAddressID>67899745</LegalEntityEmailAddressID>
        <PleaTypeID>5</PleaTypeID>
        <LawyerOfficeName>משרד עו"ד: אדווין פרידמן</LawyerOfficeName>
        <LawyerOfficeID>423316</LawyerOfficeID>
        <GroupPartyAlias/>
        <IsConverted>false</IsConverted>
        <LegalEntityNameID>3656</LegalEntityNameID>
        <RepresentatedNamesOfAssistant/>
        <LegalEntityTypeID>4</LegalEntityTypeID>
        <IsVerdictExists>false</IsVerdictExists>
        <IsAsirAzir>false</IsAsirAzir>
        <IsPublicationProhibited>false</IsPublicationProhibited>
        <PublicationProhibitedFullName>אדווין פרידמן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דיימון שכטר</FullName>
        <FirstName>דיימון</FirstName>
        <LastName>שכטר</LastName>
        <PartyPropertyName/>
        <AuthenticationTypeAndNumber>דרכון 520686304</AuthenticationTypeAndNumber>
        <RepresentatedOrRepresentativesNames>אדווין פרידמן</RepresentatedOrRepresentativesNames>
        <RepresentatedOrRepresentativesCount>1</RepresentatedOrRepresentativesCount>
        <InvitedBy/>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269144048</CasePartyID>
        <PartyTypeID>1</PartyTypeID>
        <ActivityStatusID>1</ActivityStatusID>
        <PartyAliasID>3</PartyAliasID>
        <PartyAliasName>מבקש</PartyAliasName>
        <OrdinalNumber>1</OrdinalNumber>
        <LegalEntityID>79793718</LegalEntityID>
        <CaseLegalEntityID>128573284</CaseLegalEntityID>
        <AuthenticationTypeID>2</AuthenticationTypeID>
        <AuthenticationTypeName>דרכון</AuthenticationTypeName>
        <LegalEntityNumber>520686304</LegalEntityNumber>
        <IsMainPartyType>true</IsMainPartyType>
        <CaseDisplayIdentifier>38330-04-24</CaseDisplayIdentifier>
        <CaseTypeID>10074</CaseTypeID>
        <CaseTypeName>רשות ערעור משפחה (רמ"ש)</CaseTypeName>
        <CaseName>שכטר נ' קאשי שכטר</CaseName>
        <FullAddress/>
        <MotionID>0</MotionID>
        <CasePleaID>0</CasePleaID>
        <PassportCountryID>710</PassportCountryID>
        <FatherName/>
        <LinkedCaseID>0</LinkedCaseID>
        <PartyID>1</PartyID>
        <CasePartyCategoryID>2</CasePartyCategoryID>
        <PleaTypeID>5</PleaTypeID>
        <GroupPartyAlias>מבקשים</GroupPartyAlias>
        <IsConverted>false</IsConverted>
        <LegalEntityNameID>92373002</LegalEntityNameID>
        <RepresentatedNamesOfAssistant/>
        <LegalEntityTypeID>2</LegalEntityTypeID>
        <IsVerdictExists>false</IsVerdictExists>
        <IsAsirAzir>false</IsAsirAzir>
        <IsPublicationProhibited>false</IsPublicationProhibited>
        <PublicationProhibitedFullName>דיימון שכטר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שולמית קאשי שכטר</FullName>
        <FirstName>שולמית</FirstName>
        <LastName>קאשי</LastName>
        <PartyPropertyName/>
        <AuthenticationTypeAndNumber>ת"ז 036926194</AuthenticationTypeAndNumber>
        <RepresentatedOrRepresentativesNames/>
        <RepresentatedOrRepresentativesCount>0</RepresentatedOrRepresentativesCount>
        <InvitedBy/>
        <CaseID>81161371</CaseID>
        <CaseJudicialPersonPresentationDS>
          <CaseJudicalPersonActive>
            <CaseID>81161371</CaseID>
            <JudicialPersonID>053515011@GOV.IL</JudicialPersonID>
            <JudicialPersonTypeID>1</JudicialPersonTypeID>
            <JudicialTypeID>1</JudicialTypeID>
            <IsChairman>false</IsChairman>
            <TreatmentStartDate>2024-05-01T19:34:33.77+03:00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269144049</CasePartyID>
        <PartyTypeID>1</PartyTypeID>
        <ActivityStatusID>1</ActivityStatusID>
        <PartyAliasID>4</PartyAliasID>
        <PartyAliasName>משיב</PartyAliasName>
        <OrdinalNumber>1</OrdinalNumber>
        <LegalEntityID>13074112</LegalEntityID>
        <CaseLegalEntityID>128573285</CaseLegalEntityID>
        <AuthenticationTypeID>1</AuthenticationTypeID>
        <AuthenticationTypeName>ת"ז</AuthenticationTypeName>
        <LegalEntityNumber>036926194</LegalEntityNumber>
        <IsMainPartyType>true</IsMainPartyType>
        <CaseDisplayIdentifier>38330-04-24</CaseDisplayIdentifier>
        <CaseTypeID>10074</CaseTypeID>
        <CaseTypeName>רשות ערעור משפחה (רמ"ש)</CaseTypeName>
        <CaseName>שכטר נ' קאשי שכטר</CaseName>
        <FullAddress>מאיר יערי 11 דירה 14 תל אביב -יפו דירה 13</FullAddress>
        <MotionID>0</MotionID>
        <CasePleaID>0</CasePleaID>
        <FatherName>מאיר</FatherName>
        <LinkedCaseID>0</LinkedCaseID>
        <PartyID>2</PartyID>
        <CasePartyCategoryID>2</CasePartyCategoryID>
        <LegalEntityAddressID>88870863</LegalEntityAddressID>
        <PleaTypeID>5</PleaTypeID>
        <GroupPartyAlias>משיבים</GroupPartyAlias>
        <IsConverted>false</IsConverted>
        <LegalEntityRegisteredNameID>9371042</LegalEntityRegisteredNameID>
        <LegalEntityNameID>92373003</LegalEntityNameID>
        <RepresentatedNamesOfAssistant/>
        <LegalEntityTypeID>1</LegalEntityTypeID>
        <IsVerdictExists>false</IsVerdictExists>
        <IsAsirAzir>false</IsAsirAzir>
        <IsPublicationProhibited>false</IsPublicationProhibited>
        <PublicationProhibitedFullName>שולמית קאשי שכטר</PublicationProhibitedFullName>
      </CaseParties>
    </CasePartiesSelectionDS>
    <CaseName>שכטר נ' קאשי שכטר</CaseName>
    <CaseDisplayIdentifier>38330-04-24</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PartyID>1</PartyID>
    <PartyTypeID>1</PartyTypeID>
    <DecisionID>0</DecisionID>
    <FullName>דיימון שכטר</FullName>
    <IsPublicationProhibited>false</IsPublicationProhibited>
  </dt_LegalEntityDetails>
  <dt_LegalEntityDetails>
    <AddressDesc>דירה 13</AddressDesc>
    <PartyID>2</PartyID>
    <PartyTypeID>1</PartyTypeID>
    <DecisionID>0</DecisionID>
    <StreetName>מאיר יערי 11 דירה 14</StreetName>
    <CityName>תל אביב -יפו</CityName>
    <FullName>שולמית קאשי שכטר</FullName>
    <IsPublicationProhibited>false</IsPublicationProhibited>
  </dt_LegalEntityDetails>
  <dt_LegalEntityDetails>
    <Fax>03-6090392</Fax>
    <Phone>03-6966611</Phone>
    <AddressDesc/>
    <PartyID>1</PartyID>
    <PartyTypeID>2</PartyTypeID>
    <DecisionID>0</DecisionID>
    <StreetName>הרכבת 58</StreetName>
    <ZipCode>6777016</ZipCode>
    <CityName>תל אביב -יפו</CityName>
    <FullName>אדווין פרידמן</FullName>
    <Email>edwin@edfreedman.com</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1483DEFF-D309-4040-AB35-4D9623A1E1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932</Words>
  <Characters>4662</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2024-06-04T06:35:00Z</dcterms:created>
  <dcterms:modified xsi:type="dcterms:W3CDTF">2024-06-04T06:35:00Z</dcterms:modified>
</cp:coreProperties>
</file>